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hAnsi="宋体"/>
          <w:b/>
          <w:bCs/>
          <w:sz w:val="36"/>
          <w:szCs w:val="36"/>
          <w:highlight w:val="none"/>
        </w:rPr>
        <w:t>四川恒胜化工有限公司</w:t>
      </w:r>
      <w:r>
        <w:rPr>
          <w:rFonts w:hint="eastAsia" w:hAnsi="宋体"/>
          <w:b/>
          <w:bCs/>
          <w:sz w:val="36"/>
          <w:szCs w:val="36"/>
          <w:highlight w:val="none"/>
          <w:lang w:val="en-US" w:eastAsia="zh-CN"/>
        </w:rPr>
        <w:t>清洁生产审核信息公示</w:t>
      </w:r>
    </w:p>
    <w:p>
      <w:pPr>
        <w:jc w:val="center"/>
        <w:rPr>
          <w:rFonts w:hint="eastAsia" w:hAnsi="宋体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根据四川省生态环境厅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于202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日发布的《关于公布202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年度强制性清洁生产审核重点企业名单的通知》(川环函[202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]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219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号)，四川恒胜化工有限公司需开展清洁生产审核工作。根据《清洁生产审核办法》(国家发展改革委和环境保护部第38号令)，我公司属于该办法中第八条第(三)款：使用有毒有害原料进行生产或者在生产中排放有毒有害物质的企业。我公司自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月开始全面启动清洁生产审核工作，并委托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四川省环科源科技有限公司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对审核工作进行技术方法指导。现根据《清洁生产审核办法》第八条及十一条的要求公布以下信息：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1、企业名称：四川恒胜化工有限公司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2、法人代表：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彭树先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3、企业地址：四川省绵阳市安州区雎水镇雎秀路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4、使用有毒有害原料的名称、数量及用途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我公司主要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利用银河公司副产废芒硝生产工业硫化钠，生产过程中使用的主要有毒有害原料名称、用量及用途详见下表1。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/>
        <w:ind w:left="0" w:right="0" w:firstLine="0"/>
        <w:jc w:val="center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5A5A5A"/>
          <w:spacing w:val="0"/>
          <w:sz w:val="16"/>
          <w:szCs w:val="16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5A5A5A"/>
          <w:spacing w:val="-10"/>
          <w:sz w:val="19"/>
          <w:szCs w:val="19"/>
          <w:highlight w:val="none"/>
          <w:shd w:val="clear" w:fill="FFFFFF"/>
        </w:rPr>
        <w:t>表</w:t>
      </w:r>
      <w:r>
        <w:rPr>
          <w:rFonts w:hint="eastAsia" w:ascii="黑体" w:hAnsi="宋体" w:eastAsia="黑体" w:cs="黑体"/>
          <w:i w:val="0"/>
          <w:iCs w:val="0"/>
          <w:caps w:val="0"/>
          <w:color w:val="5A5A5A"/>
          <w:spacing w:val="-10"/>
          <w:sz w:val="19"/>
          <w:szCs w:val="19"/>
          <w:highlight w:val="none"/>
          <w:shd w:val="clear" w:fill="FFFFFF"/>
        </w:rPr>
        <w:t>1 原辅料消耗情况表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3"/>
        <w:gridCol w:w="281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2023年耗量（t/a）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含铬芒硝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  <w:t>64030.56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原料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A5A5A"/>
          <w:spacing w:val="0"/>
          <w:sz w:val="19"/>
          <w:szCs w:val="19"/>
          <w:highlight w:val="none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5、排放有毒有害物质的名称、浓度和数量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我公司运营期外排有毒有害物质主要为废气，废水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无排放。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排放情况见下表2。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/>
        <w:ind w:left="0" w:right="0" w:firstLine="0"/>
        <w:jc w:val="center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5A5A5A"/>
          <w:spacing w:val="0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A5A5A"/>
          <w:spacing w:val="-10"/>
          <w:sz w:val="24"/>
          <w:szCs w:val="24"/>
          <w:highlight w:val="none"/>
          <w:shd w:val="clear" w:fill="FFFFFF"/>
        </w:rPr>
        <w:t>表2 污染物排放数据表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0"/>
        <w:gridCol w:w="2111"/>
        <w:gridCol w:w="211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废弃物名称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污染因子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排放量（t/a）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排污许可证量</w:t>
            </w: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（t/a）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pct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废气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二氧化硫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1.0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9" w:type="pct"/>
            <w:vMerge w:val="continue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eastAsia="SourceHanSansCN-Regular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氮氧化物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22.8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9" w:type="pct"/>
            <w:vMerge w:val="continue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eastAsia="SourceHanSansCN-Regular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颗粒物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0.7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8.64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6、固废的产生及处置情况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/>
        <w:ind w:left="0" w:right="0" w:firstLine="0"/>
        <w:jc w:val="center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5A5A5A"/>
          <w:spacing w:val="0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A5A5A"/>
          <w:spacing w:val="-10"/>
          <w:sz w:val="24"/>
          <w:szCs w:val="24"/>
          <w:highlight w:val="none"/>
          <w:shd w:val="clear" w:fill="FFFFFF"/>
        </w:rPr>
        <w:t>表3 固废产生数据及处置情况表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1889"/>
        <w:gridCol w:w="2463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固体废物名称</w:t>
            </w:r>
          </w:p>
        </w:tc>
        <w:tc>
          <w:tcPr>
            <w:tcW w:w="145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2023年产生量（t/a）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</w:rPr>
              <w:t>处置措施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一般固废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废泥渣</w:t>
            </w:r>
          </w:p>
        </w:tc>
        <w:tc>
          <w:tcPr>
            <w:tcW w:w="145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1398.81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委外利用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一般固废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9"/>
              <w:spacing w:line="240" w:lineRule="exact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煤渣</w:t>
            </w:r>
          </w:p>
        </w:tc>
        <w:tc>
          <w:tcPr>
            <w:tcW w:w="145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1042.8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不排放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生产回用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一般固废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9"/>
              <w:spacing w:line="240" w:lineRule="exact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废包装材料</w:t>
            </w:r>
          </w:p>
        </w:tc>
        <w:tc>
          <w:tcPr>
            <w:tcW w:w="145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0.61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eastAsia"/>
                <w:sz w:val="21"/>
                <w:szCs w:val="21"/>
                <w:highlight w:val="none"/>
              </w:rPr>
              <w:t>厂家回收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HW49</w:t>
            </w:r>
          </w:p>
        </w:tc>
        <w:tc>
          <w:tcPr>
            <w:tcW w:w="111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9"/>
              <w:spacing w:line="240" w:lineRule="exact"/>
              <w:rPr>
                <w:rFonts w:hint="default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化验室产生的废液</w:t>
            </w:r>
          </w:p>
        </w:tc>
        <w:tc>
          <w:tcPr>
            <w:tcW w:w="145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4.3881</w:t>
            </w:r>
          </w:p>
        </w:tc>
        <w:tc>
          <w:tcPr>
            <w:tcW w:w="174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不排放，生产回用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7、依法落实环境风险防控措施情况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我公司2023年已修订编制完成了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《四川恒胜化工有限公司突发环境事件风险评估报告》、《四川恒胜化工有限公司突发环境事件应急资源调查报告》及《四川恒胜化工有限公司突发环境事件应急预案》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（备案编号：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510705-2022-042-L）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，并在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绵阳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安州区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生态环境局备案，企业为“一般环境风险”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，最可能发生的突发环境事件为火灾、危废泄漏及污染治理设施非正常运行。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企业针对可能发生的风险事故，采取了风险防范措施并制定了突发环境事件应急预案，成立了应急救援指挥部，统一领导和指挥全公司范围内突发环境事件的应急救援工作。应急组织体系由应急指挥部、应急工作组及应急专家组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8、联系人及联系方式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  审核企业：四川恒胜化工有限公司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 xml:space="preserve"> 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联系人：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eastAsia="zh-CN"/>
        </w:rPr>
        <w:t>陈玉华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  联系电话：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13890101861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                        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  公示日期：2024年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517" w:wrap="around" w:vAnchor="text" w:hAnchor="margin" w:xAlign="center" w:y="-6"/>
      <w:jc w:val="center"/>
      <w:rPr>
        <w:rStyle w:val="8"/>
      </w:rPr>
    </w:pPr>
    <w:r>
      <w:rPr>
        <w:rStyle w:val="8"/>
        <w:rFonts w:hint="eastAsia"/>
      </w:rPr>
      <w:t>3-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GU1OWIzZDZmYzJmY2JiZWE4OTA4ZDQ0MDRjODYifQ=="/>
  </w:docVars>
  <w:rsids>
    <w:rsidRoot w:val="00000000"/>
    <w:rsid w:val="036C5493"/>
    <w:rsid w:val="1B4B5C4E"/>
    <w:rsid w:val="1C8965C4"/>
    <w:rsid w:val="281A2C55"/>
    <w:rsid w:val="2821352A"/>
    <w:rsid w:val="30EE1123"/>
    <w:rsid w:val="352F72A6"/>
    <w:rsid w:val="418F7DB9"/>
    <w:rsid w:val="46D048C3"/>
    <w:rsid w:val="49E87C07"/>
    <w:rsid w:val="62355FC9"/>
    <w:rsid w:val="77B253E9"/>
    <w:rsid w:val="7EB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 Char Char Char Char"/>
    <w:basedOn w:val="1"/>
    <w:qFormat/>
    <w:uiPriority w:val="0"/>
    <w:pPr>
      <w:jc w:val="center"/>
    </w:pPr>
    <w:rPr>
      <w:rFonts w:ascii="宋体" w:hAnsi="宋体" w:cs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1063</Characters>
  <Lines>0</Lines>
  <Paragraphs>0</Paragraphs>
  <TotalTime>4</TotalTime>
  <ScaleCrop>false</ScaleCrop>
  <LinksUpToDate>false</LinksUpToDate>
  <CharactersWithSpaces>1111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2024-05-30T02:12:00Z</dcterms:created>
  <dc:creator>My</dc:creator>
  <cp:lastModifiedBy>哗哗</cp:lastModifiedBy>
  <dcterms:modified xsi:type="dcterms:W3CDTF">2024-06-06T06:55:03Z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ABD6D9B07C90461BB61E675144F784A4_13</vt:lpwstr>
  </property>
</Properties>
</file>